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D53E6E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Adelanto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D53E6E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56762FB" wp14:editId="7DDDB5C1">
            <wp:extent cx="9324975" cy="58769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B05329"/>
    <w:rsid w:val="00C13912"/>
    <w:rsid w:val="00D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108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13</c:v>
                </c:pt>
                <c:pt idx="1">
                  <c:v>4</c:v>
                </c:pt>
                <c:pt idx="2">
                  <c:v>35</c:v>
                </c:pt>
                <c:pt idx="3">
                  <c:v>28</c:v>
                </c:pt>
                <c:pt idx="4">
                  <c:v>16</c:v>
                </c:pt>
                <c:pt idx="5">
                  <c:v>9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8973720"/>
        <c:axId val="378974112"/>
        <c:axId val="0"/>
      </c:bar3DChart>
      <c:catAx>
        <c:axId val="378973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974112"/>
        <c:crosses val="autoZero"/>
        <c:auto val="1"/>
        <c:lblAlgn val="ctr"/>
        <c:lblOffset val="100"/>
        <c:noMultiLvlLbl val="0"/>
      </c:catAx>
      <c:valAx>
        <c:axId val="378974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8973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0.15935</cdr:x>
      <cdr:y>0.56564</cdr:y>
    </cdr:from>
    <cdr:to>
      <cdr:x>0.50766</cdr:x>
      <cdr:y>0.60778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324225"/>
          <a:ext cx="3248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2,719 </a:t>
          </a:r>
          <a:r>
            <a:rPr lang="en-US" sz="1100" i="1"/>
            <a:t>- Average Year Built </a:t>
          </a:r>
          <a:r>
            <a:rPr lang="en-US" sz="1100" b="1" i="1"/>
            <a:t>2004</a:t>
          </a:r>
        </a:p>
      </cdr:txBody>
    </cdr:sp>
  </cdr:relSizeAnchor>
  <cdr:relSizeAnchor xmlns:cdr="http://schemas.openxmlformats.org/drawingml/2006/chartDrawing">
    <cdr:from>
      <cdr:x>0.16037</cdr:x>
      <cdr:y>0.62723</cdr:y>
    </cdr:from>
    <cdr:to>
      <cdr:x>0.50766</cdr:x>
      <cdr:y>0.66937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3686175"/>
          <a:ext cx="3238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2,507</a:t>
          </a:r>
          <a:r>
            <a:rPr lang="en-US" sz="1100" i="1" baseline="0"/>
            <a:t> - Average Year Built </a:t>
          </a:r>
          <a:r>
            <a:rPr lang="en-US" sz="1100" b="1" i="1" baseline="0"/>
            <a:t>2005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0.15935</cdr:x>
      <cdr:y>0.69044</cdr:y>
    </cdr:from>
    <cdr:to>
      <cdr:x>0.53218</cdr:x>
      <cdr:y>0.7342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4057650"/>
          <a:ext cx="3476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2,003</a:t>
          </a:r>
          <a:r>
            <a:rPr lang="en-US" sz="1100" i="1"/>
            <a:t> - Average Year Built </a:t>
          </a:r>
          <a:r>
            <a:rPr lang="en-US" sz="1100" b="1" i="1"/>
            <a:t>2001</a:t>
          </a:r>
        </a:p>
      </cdr:txBody>
    </cdr:sp>
  </cdr:relSizeAnchor>
  <cdr:relSizeAnchor xmlns:cdr="http://schemas.openxmlformats.org/drawingml/2006/chartDrawing">
    <cdr:from>
      <cdr:x>0.16037</cdr:x>
      <cdr:y>0.75203</cdr:y>
    </cdr:from>
    <cdr:to>
      <cdr:x>0.48212</cdr:x>
      <cdr:y>0.79741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4419600"/>
          <a:ext cx="30003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1,561</a:t>
          </a:r>
          <a:r>
            <a:rPr lang="en-US" sz="1100" i="1" baseline="0"/>
            <a:t> - Average Year Built </a:t>
          </a:r>
          <a:r>
            <a:rPr lang="en-US" sz="1100" b="1" i="0" baseline="0"/>
            <a:t>1999</a:t>
          </a:r>
          <a:endParaRPr lang="en-US" sz="1100" b="1" i="0"/>
        </a:p>
      </cdr:txBody>
    </cdr:sp>
  </cdr:relSizeAnchor>
  <cdr:relSizeAnchor xmlns:cdr="http://schemas.openxmlformats.org/drawingml/2006/chartDrawing">
    <cdr:from>
      <cdr:x>0.15935</cdr:x>
      <cdr:y>0.81524</cdr:y>
    </cdr:from>
    <cdr:to>
      <cdr:x>0.48212</cdr:x>
      <cdr:y>0.85575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4791075"/>
          <a:ext cx="3009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1,441</a:t>
          </a:r>
          <a:r>
            <a:rPr lang="en-US" sz="1100" i="1"/>
            <a:t> 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0.15832</cdr:x>
      <cdr:y>0.87682</cdr:y>
    </cdr:from>
    <cdr:to>
      <cdr:x>0.52196</cdr:x>
      <cdr:y>0.92058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153025"/>
          <a:ext cx="33909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 baseline="0"/>
            <a:t> 1,292</a:t>
          </a:r>
          <a:r>
            <a:rPr lang="en-US" sz="1100" i="1" baseline="0"/>
            <a:t> - Average Year Built </a:t>
          </a:r>
          <a:r>
            <a:rPr lang="en-US" sz="1100" b="1" i="1" baseline="0"/>
            <a:t>1984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0.15935</cdr:x>
      <cdr:y>0.93679</cdr:y>
    </cdr:from>
    <cdr:to>
      <cdr:x>0.52809</cdr:x>
      <cdr:y>0.98379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5505450"/>
          <a:ext cx="34385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 baseline="0"/>
            <a:t> 1,366 </a:t>
          </a:r>
          <a:r>
            <a:rPr lang="en-US" sz="1100" i="1" baseline="0"/>
            <a:t>- Average Year Built </a:t>
          </a:r>
          <a:r>
            <a:rPr lang="en-US" sz="1100" b="1" i="1" baseline="0"/>
            <a:t>1986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2017-05-10T16:39:00Z</dcterms:created>
  <dcterms:modified xsi:type="dcterms:W3CDTF">2017-05-10T16:39:00Z</dcterms:modified>
</cp:coreProperties>
</file>